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F6" w:rsidRDefault="00EA2BF6" w:rsidP="00EA2BF6">
      <w:pPr>
        <w:jc w:val="both"/>
        <w:rPr>
          <w:b/>
          <w:color w:val="000000"/>
          <w:sz w:val="28"/>
          <w:szCs w:val="28"/>
        </w:rPr>
      </w:pPr>
    </w:p>
    <w:p w:rsidR="00EA2BF6" w:rsidRDefault="00EA2BF6" w:rsidP="00EA2BF6">
      <w:pPr>
        <w:jc w:val="both"/>
        <w:rPr>
          <w:b/>
          <w:color w:val="000000"/>
          <w:sz w:val="28"/>
          <w:szCs w:val="28"/>
        </w:rPr>
      </w:pPr>
    </w:p>
    <w:p w:rsidR="00EA2BF6" w:rsidRPr="00300D1C" w:rsidRDefault="00EA2BF6" w:rsidP="00EA2BF6">
      <w:pPr>
        <w:jc w:val="both"/>
        <w:rPr>
          <w:b/>
          <w:color w:val="000000"/>
          <w:sz w:val="32"/>
          <w:szCs w:val="32"/>
        </w:rPr>
      </w:pPr>
      <w:r w:rsidRPr="00300D1C">
        <w:rPr>
          <w:b/>
          <w:color w:val="000000"/>
          <w:sz w:val="32"/>
          <w:szCs w:val="32"/>
        </w:rPr>
        <w:t>A Bíblia como obra literária. Hermenêutica literária dos textos bíblicos em diálogo com a teologia</w:t>
      </w:r>
    </w:p>
    <w:p w:rsidR="00EA2BF6" w:rsidRDefault="00EA2BF6" w:rsidP="00EA2BF6">
      <w:pPr>
        <w:jc w:val="both"/>
        <w:rPr>
          <w:b/>
          <w:color w:val="000000"/>
        </w:rPr>
      </w:pPr>
    </w:p>
    <w:p w:rsidR="00EA2BF6" w:rsidRDefault="00EA2BF6" w:rsidP="00EA2BF6">
      <w:pPr>
        <w:jc w:val="both"/>
        <w:rPr>
          <w:b/>
          <w:color w:val="000000"/>
        </w:rPr>
      </w:pPr>
    </w:p>
    <w:p w:rsidR="00EA2BF6" w:rsidRPr="00B20310" w:rsidRDefault="00EA2BF6" w:rsidP="00EA2BF6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Prof. Dr. </w:t>
      </w:r>
      <w:r w:rsidRPr="00E86D07">
        <w:rPr>
          <w:color w:val="000000"/>
        </w:rPr>
        <w:t>Antonio Magalhães</w:t>
      </w:r>
      <w:r>
        <w:rPr>
          <w:rStyle w:val="Refdenotaderodap"/>
          <w:color w:val="000000"/>
        </w:rPr>
        <w:footnoteReference w:id="1"/>
      </w:r>
      <w:r>
        <w:rPr>
          <w:color w:val="000000"/>
        </w:rPr>
        <w:t xml:space="preserve"> (UEPB)</w:t>
      </w:r>
    </w:p>
    <w:p w:rsidR="00EA2BF6" w:rsidRPr="00F44F6A" w:rsidRDefault="00EA2BF6" w:rsidP="00EA2BF6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A2BF6" w:rsidRDefault="00EA2BF6" w:rsidP="00EA2BF6">
      <w:pPr>
        <w:rPr>
          <w:b/>
          <w:sz w:val="28"/>
          <w:szCs w:val="28"/>
        </w:rPr>
      </w:pPr>
      <w:r w:rsidRPr="00300D1C">
        <w:rPr>
          <w:b/>
          <w:sz w:val="28"/>
          <w:szCs w:val="28"/>
        </w:rPr>
        <w:t>Resumo</w:t>
      </w:r>
      <w:r>
        <w:rPr>
          <w:b/>
          <w:sz w:val="28"/>
          <w:szCs w:val="28"/>
        </w:rPr>
        <w:t>:</w:t>
      </w:r>
    </w:p>
    <w:p w:rsidR="00EA2BF6" w:rsidRPr="00300D1C" w:rsidRDefault="00EA2BF6" w:rsidP="00EA2BF6">
      <w:pPr>
        <w:rPr>
          <w:b/>
          <w:sz w:val="28"/>
          <w:szCs w:val="28"/>
        </w:rPr>
      </w:pPr>
    </w:p>
    <w:p w:rsidR="00EA2BF6" w:rsidRPr="00631A27" w:rsidRDefault="00EA2BF6" w:rsidP="00EA2BF6">
      <w:pPr>
        <w:jc w:val="both"/>
        <w:rPr>
          <w:sz w:val="22"/>
          <w:szCs w:val="22"/>
        </w:rPr>
      </w:pPr>
      <w:r w:rsidRPr="00631A27">
        <w:rPr>
          <w:sz w:val="22"/>
          <w:szCs w:val="22"/>
        </w:rPr>
        <w:t xml:space="preserve">Traduções de obras de importantes críticos literários (Robert Alter, Northrop Frye, Harold Bloom) e publicações na Alemanha ainda não traduzidas (Jan Assmann, Hans-Peter Schmidt) retomam o tema da relação entre Bíblia e Literatura e a Bíblia como obra literária. Minha contribuição no simpósio </w:t>
      </w:r>
      <w:r w:rsidRPr="00631A27">
        <w:rPr>
          <w:rStyle w:val="nfase"/>
          <w:sz w:val="22"/>
          <w:szCs w:val="22"/>
        </w:rPr>
        <w:t>Teologia e Literatura: Estudos Comparados</w:t>
      </w:r>
      <w:r w:rsidRPr="00631A27">
        <w:rPr>
          <w:sz w:val="22"/>
          <w:szCs w:val="22"/>
        </w:rPr>
        <w:t xml:space="preserve"> é a de sistematizar estes textos, apresentar suas convergências e principais divergências e concluir com uma reflexão sobre a relação entre teologia e literatura a partir do papel e da importância da Bíblia como obra basilar da literatura ocidental.</w:t>
      </w:r>
    </w:p>
    <w:p w:rsidR="00EA2BF6" w:rsidRDefault="00EA2BF6" w:rsidP="00EA2BF6">
      <w:pPr>
        <w:jc w:val="both"/>
      </w:pPr>
    </w:p>
    <w:p w:rsidR="00EA2BF6" w:rsidRPr="00E86D07" w:rsidRDefault="00EA2BF6" w:rsidP="00EA2BF6">
      <w:pPr>
        <w:jc w:val="both"/>
      </w:pPr>
      <w:r>
        <w:rPr>
          <w:b/>
        </w:rPr>
        <w:t xml:space="preserve">Palavras-chave: </w:t>
      </w:r>
      <w:r>
        <w:t>Bíblia, literatura, teologia, hermenêutica</w:t>
      </w:r>
    </w:p>
    <w:p w:rsidR="00EA2BF6" w:rsidRPr="00C6688F" w:rsidRDefault="00EA2BF6" w:rsidP="00EA2BF6">
      <w:pPr>
        <w:jc w:val="both"/>
      </w:pPr>
    </w:p>
    <w:p w:rsidR="00EA2BF6" w:rsidRDefault="00EA2BF6" w:rsidP="00EA2BF6">
      <w:pPr>
        <w:jc w:val="both"/>
        <w:rPr>
          <w:b/>
          <w:color w:val="000000"/>
        </w:rPr>
      </w:pPr>
    </w:p>
    <w:p w:rsidR="00EA2BF6" w:rsidRDefault="00EA2BF6" w:rsidP="00EA2BF6">
      <w:pPr>
        <w:jc w:val="both"/>
        <w:rPr>
          <w:b/>
          <w:color w:val="000000"/>
        </w:rPr>
      </w:pPr>
    </w:p>
    <w:p w:rsidR="00EA2BF6" w:rsidRPr="00B7756A" w:rsidRDefault="00EA2BF6" w:rsidP="00EA2BF6">
      <w:pPr>
        <w:jc w:val="both"/>
        <w:rPr>
          <w:b/>
          <w:color w:val="000000"/>
        </w:rPr>
      </w:pPr>
      <w:r>
        <w:rPr>
          <w:b/>
          <w:color w:val="000000"/>
        </w:rPr>
        <w:t>Introdução</w:t>
      </w:r>
    </w:p>
    <w:p w:rsidR="00EA2BF6" w:rsidRDefault="00EA2BF6" w:rsidP="00EA2BF6">
      <w:pPr>
        <w:jc w:val="both"/>
        <w:rPr>
          <w:b/>
          <w:color w:val="000000"/>
        </w:rPr>
      </w:pPr>
    </w:p>
    <w:p w:rsidR="00EA2BF6" w:rsidRDefault="00EA2BF6" w:rsidP="00EA2BF6">
      <w:pPr>
        <w:jc w:val="both"/>
      </w:pPr>
      <w:r>
        <w:rPr>
          <w:color w:val="000000"/>
        </w:rPr>
        <w:t xml:space="preserve">As presentes reflexões originam-se de leituras sobre textos publicados/traduzidos nos últimos anos acerca da relação entre religião monoteísta e literatura e da Bíblia como obra literária. </w:t>
      </w:r>
      <w:r w:rsidRPr="0020519C">
        <w:rPr>
          <w:color w:val="000000"/>
        </w:rPr>
        <w:t xml:space="preserve">Dentre as publicações destaco a </w:t>
      </w:r>
      <w:r w:rsidRPr="0020519C">
        <w:rPr>
          <w:i/>
          <w:color w:val="000000"/>
        </w:rPr>
        <w:t xml:space="preserve">Schicksal-Gott-Fiktion. </w:t>
      </w:r>
      <w:r w:rsidRPr="006D1454">
        <w:rPr>
          <w:i/>
          <w:color w:val="000000"/>
          <w:lang w:val="en-US"/>
        </w:rPr>
        <w:t>Die Bibel als literarisches Meisterwerk</w:t>
      </w:r>
      <w:r>
        <w:rPr>
          <w:color w:val="000000"/>
          <w:lang w:val="en-US"/>
        </w:rPr>
        <w:t xml:space="preserve"> (2005)</w:t>
      </w:r>
      <w:r w:rsidRPr="006D1454">
        <w:rPr>
          <w:color w:val="000000"/>
          <w:lang w:val="en-US"/>
        </w:rPr>
        <w:t>, de Hans-Peter Schmidt</w:t>
      </w:r>
      <w:r w:rsidRPr="006D1454">
        <w:rPr>
          <w:lang w:val="en-US"/>
        </w:rPr>
        <w:t xml:space="preserve">, </w:t>
      </w:r>
      <w:r w:rsidRPr="006D1454">
        <w:rPr>
          <w:i/>
          <w:lang w:val="en-US"/>
        </w:rPr>
        <w:t>Schrift und Ge-dächtnis.  Archäologie der literarischen Kommunikation</w:t>
      </w:r>
      <w:r>
        <w:rPr>
          <w:lang w:val="en-US"/>
        </w:rPr>
        <w:t xml:space="preserve"> (2004)</w:t>
      </w:r>
      <w:r w:rsidRPr="006D1454">
        <w:rPr>
          <w:i/>
          <w:lang w:val="en-US"/>
        </w:rPr>
        <w:t>,</w:t>
      </w:r>
      <w:r>
        <w:rPr>
          <w:lang w:val="en-US"/>
        </w:rPr>
        <w:t xml:space="preserve"> de Jan Assmann/Aleida Assmann e Christian Hardmeier e </w:t>
      </w:r>
      <w:r w:rsidRPr="006D1454">
        <w:rPr>
          <w:i/>
          <w:lang w:val="en-US"/>
        </w:rPr>
        <w:t>Die Mosaische Unterscheidung oder Der Preis des Monotheismus</w:t>
      </w:r>
      <w:r>
        <w:rPr>
          <w:lang w:val="en-US"/>
        </w:rPr>
        <w:t xml:space="preserve"> (2003),</w:t>
      </w:r>
      <w:r w:rsidRPr="006D1454">
        <w:rPr>
          <w:lang w:val="en-US"/>
        </w:rPr>
        <w:t xml:space="preserve"> de Jan Assmann</w:t>
      </w:r>
      <w:r>
        <w:rPr>
          <w:lang w:val="en-US"/>
        </w:rPr>
        <w:t xml:space="preserve">, além dos textos de Harold Bloom, </w:t>
      </w:r>
      <w:r>
        <w:rPr>
          <w:i/>
          <w:lang w:val="en-US"/>
        </w:rPr>
        <w:t>O livro de J</w:t>
      </w:r>
      <w:r>
        <w:rPr>
          <w:lang w:val="en-US"/>
        </w:rPr>
        <w:t xml:space="preserve"> (1992),  </w:t>
      </w:r>
      <w:r>
        <w:rPr>
          <w:i/>
          <w:lang w:val="en-US"/>
        </w:rPr>
        <w:t xml:space="preserve">Jesus e Javé. </w:t>
      </w:r>
      <w:r w:rsidRPr="00DA3B33">
        <w:rPr>
          <w:i/>
        </w:rPr>
        <w:t xml:space="preserve">Os nomes </w:t>
      </w:r>
      <w:r>
        <w:rPr>
          <w:i/>
        </w:rPr>
        <w:t>divino</w:t>
      </w:r>
      <w:r w:rsidRPr="00DA3B33">
        <w:rPr>
          <w:i/>
        </w:rPr>
        <w:t>s</w:t>
      </w:r>
      <w:r>
        <w:t xml:space="preserve"> (2006)</w:t>
      </w:r>
      <w:r w:rsidRPr="00DA3B33">
        <w:t xml:space="preserve">, de Jack Miles, </w:t>
      </w:r>
      <w:r w:rsidRPr="00DA3B33">
        <w:rPr>
          <w:i/>
        </w:rPr>
        <w:t>Deus. Uma biografia</w:t>
      </w:r>
      <w:r>
        <w:t xml:space="preserve"> (1997)</w:t>
      </w:r>
      <w:r w:rsidRPr="00DA3B33">
        <w:t xml:space="preserve"> e </w:t>
      </w:r>
      <w:r w:rsidRPr="00DA3B33">
        <w:rPr>
          <w:i/>
        </w:rPr>
        <w:t>C</w:t>
      </w:r>
      <w:r>
        <w:rPr>
          <w:i/>
        </w:rPr>
        <w:t>risto. Uma crise na existência de Deus</w:t>
      </w:r>
      <w:r>
        <w:t xml:space="preserve"> (2002), de Robert Alter, </w:t>
      </w:r>
      <w:r>
        <w:rPr>
          <w:i/>
        </w:rPr>
        <w:t>A arte da narrativa bíblica</w:t>
      </w:r>
      <w:r>
        <w:t xml:space="preserve"> (2007), de Northrop Frye, </w:t>
      </w:r>
      <w:r>
        <w:rPr>
          <w:i/>
        </w:rPr>
        <w:t>Código dos Códigos. A Bíblia e a Literatura</w:t>
      </w:r>
      <w:r>
        <w:t xml:space="preserve"> (2004). Apesar da grande diversidade existente entre estes autores sobre os textos escolhidos para a aplicação de suas teorias, cuja diversidade de pressupostos hermenêuticos também é algo a ser notado, todos têm em comum algumas teses: 1) A Bíblia é interpretada como obra literária, o que implica em lê-la a partir das teorias literárias apropriadas, levando em conta tramas, personagens, estética, densidade narrativa, etc. Obviamente esta abordagem ou se distancia de pressupostos </w:t>
      </w:r>
    </w:p>
    <w:p w:rsidR="00EA2BF6" w:rsidRDefault="00EA2BF6" w:rsidP="00EA2BF6">
      <w:pPr>
        <w:jc w:val="both"/>
      </w:pPr>
    </w:p>
    <w:p w:rsidR="00EA2BF6" w:rsidRDefault="00EA2BF6" w:rsidP="00EA2BF6">
      <w:pPr>
        <w:jc w:val="both"/>
      </w:pPr>
      <w:r>
        <w:t xml:space="preserve">teológicos confessionais, cuja característica central é o uso do texto bíblico para a confirmação de determinadas crenças da religião ou dialoga com a tradição teológica enquanto tradição hermenêutica, responsável por parte da história da hermenêutica no ocidente. A rejeição ao trabalho teológico ou a inclusão da hermenêutica teológica se dá sempre a partir de teorias literárias específicas, tendo como base a Bíblia como obra literária; 2) A Bíblia é lida em sua pluralidade de narrativas, mas a partir de certa continuidade que existe nas “biografias” de seus personagens, algo importante para boa parte da literatura. Um dos pressupostos é que a Bíblia é rica e plural. Nela não encontramos personagens repetitivos, todos são marcados pela intensidade e pela diversidade de </w:t>
      </w:r>
      <w:r>
        <w:lastRenderedPageBreak/>
        <w:t xml:space="preserve">ações. Mas isto não tira certa continuidade, o que faz parte das técnicas narrativas sobre personagens: eles podem oscilar em sua trajetória, mas sempre haverá continuidades; 3) A Bíblia é considerada obra basilar da literatura ocidental, emprestando-lhe temas, técnicas, personagens fortes, tramas sucintas – ao contrário de outra obra basilar da literatura ocidental, os textos de Homero, pelo fato de serem detalhistas em suas tramas -mas cheias de suspense e criatividade. Aqui vale a comparação feita por Auerbach ao comentar um texto bíblico sobre Davi e Absalão: </w:t>
      </w:r>
    </w:p>
    <w:p w:rsidR="00EA2BF6" w:rsidRDefault="00EA2BF6" w:rsidP="00EA2BF6">
      <w:pPr>
        <w:jc w:val="both"/>
      </w:pPr>
    </w:p>
    <w:p w:rsidR="00EA2BF6" w:rsidRPr="00F7328B" w:rsidRDefault="00EA2BF6" w:rsidP="00EA2BF6">
      <w:pPr>
        <w:ind w:left="1416" w:firstLine="708"/>
        <w:jc w:val="both"/>
        <w:rPr>
          <w:sz w:val="22"/>
          <w:szCs w:val="22"/>
        </w:rPr>
      </w:pPr>
      <w:r w:rsidRPr="00F7328B">
        <w:rPr>
          <w:sz w:val="22"/>
          <w:szCs w:val="22"/>
        </w:rPr>
        <w:t>“Em Homero seria inimaginável uma multiplicidade de planos nas situações psicológicas como a que é mais sugerida do que expressa na  história da morte de Absalão e no seu epílogo. (...) O mais importante, contudo, é a multiplicidade de camadas dentro de cada homem; isto é dificilmente encontrável em Homero, quando muito na forma da dúvida consciente entre dois possíveis modos de agir; em tudo o mais, a multiplicidade da vida psíquica mostra-se nele só na sucessão, no revezamento das paixões; enquanto que os autores judeus conseguem exprimir as camadas simultaneamente sobrepostas da consciência e o conflito entre as mesmas.”</w:t>
      </w:r>
      <w:r>
        <w:rPr>
          <w:sz w:val="22"/>
          <w:szCs w:val="22"/>
        </w:rPr>
        <w:t xml:space="preserve"> (AUERBACH, 2004, p. 10)</w:t>
      </w:r>
    </w:p>
    <w:p w:rsidR="00EA2BF6" w:rsidRDefault="00EA2BF6" w:rsidP="00EA2BF6">
      <w:pPr>
        <w:jc w:val="both"/>
      </w:pPr>
    </w:p>
    <w:p w:rsidR="00EA2BF6" w:rsidRDefault="00EA2BF6" w:rsidP="00EA2BF6">
      <w:pPr>
        <w:jc w:val="both"/>
      </w:pPr>
      <w:r>
        <w:t xml:space="preserve">De opinião semelhante é Alter: “Habituados que somos à leitura de narrativas em que se faz uma especialização muito mais densa dos dados ficcionais, temos de aprender, como demonstraram Perry e Sternberg, a reparar com mais sutileza na complexidade e na economia de detalhes expressivos do texto bíblico.” (ALTER, 2007, p. 40). 4) Deus é personagem literário, que, como qualquer outro personagem, cresce ou diminui à medida que dialoga com outros personagens. O importante aqui é explorar a densidade deste personagem em diálogo com outros. Ele pode crescer ou diminuir conforme as falas e as interlocuções, podendo até mesmo significar que a emancipação das personagens humanas esteja intimamente atrelada ao desaparecimento de Deus em algumas das narrativas bíblicas. Uma das técnicas de composição deste personagem foi a inclusão de identidades de outros personagens divinos em um único: o Deus de Israel. </w:t>
      </w:r>
    </w:p>
    <w:p w:rsidR="00EA2BF6" w:rsidRDefault="00EA2BF6" w:rsidP="00EA2BF6">
      <w:pPr>
        <w:jc w:val="both"/>
      </w:pPr>
    </w:p>
    <w:p w:rsidR="00EA2BF6" w:rsidRPr="009B30C2" w:rsidRDefault="00EA2BF6" w:rsidP="00EA2BF6">
      <w:pPr>
        <w:ind w:left="1416" w:firstLine="708"/>
        <w:jc w:val="both"/>
        <w:rPr>
          <w:sz w:val="22"/>
          <w:szCs w:val="22"/>
        </w:rPr>
      </w:pPr>
      <w:r w:rsidRPr="009B30C2">
        <w:rPr>
          <w:sz w:val="22"/>
          <w:szCs w:val="22"/>
        </w:rPr>
        <w:t>“Um crítico literário que conhece a obra deles pode projetar essa multiplicidade objetiva no caráter do Senhor Deus enquanto protagonista literário, transformando imaginativamente as inconsistências observadas no conflito interno experimentado por Deus. Dessa forma, a emergência do monoteísmo a partir d</w:t>
      </w:r>
      <w:r>
        <w:rPr>
          <w:sz w:val="22"/>
          <w:szCs w:val="22"/>
        </w:rPr>
        <w:t xml:space="preserve">o </w:t>
      </w:r>
      <w:r w:rsidRPr="009B30C2">
        <w:rPr>
          <w:sz w:val="22"/>
          <w:szCs w:val="22"/>
        </w:rPr>
        <w:t xml:space="preserve">politeísmo pode ser recuperada para a literatura como a história de um Deus único em luta consigo mesmo. (...) Se a Bíblia é, ao fim das contas, uma obra de literatura, essas personalidades históricas distintas devem ser projetadas no – e depois novamente separadas do – Deus único, o </w:t>
      </w:r>
      <w:r w:rsidRPr="009B30C2">
        <w:rPr>
          <w:i/>
          <w:sz w:val="22"/>
          <w:szCs w:val="22"/>
        </w:rPr>
        <w:t>monos theos</w:t>
      </w:r>
      <w:r w:rsidRPr="009B30C2">
        <w:rPr>
          <w:sz w:val="22"/>
          <w:szCs w:val="22"/>
        </w:rPr>
        <w:t>, que ganhou existência quando se fundiram. Depois que Deus tiver sido compreendido em sua multiplicidade, terá de ser, em resumo, novamente imaginado em sua unidade esgarçada e difícil.”</w:t>
      </w:r>
      <w:r>
        <w:rPr>
          <w:sz w:val="22"/>
          <w:szCs w:val="22"/>
        </w:rPr>
        <w:t xml:space="preserve"> (MILES, 1997, p. 34) </w:t>
      </w:r>
    </w:p>
    <w:p w:rsidR="00EA2BF6" w:rsidRDefault="00EA2BF6" w:rsidP="00EA2BF6">
      <w:pPr>
        <w:jc w:val="both"/>
      </w:pPr>
    </w:p>
    <w:p w:rsidR="00EA2BF6" w:rsidRDefault="00EA2BF6" w:rsidP="00EA2BF6">
      <w:pPr>
        <w:jc w:val="both"/>
      </w:pPr>
    </w:p>
    <w:p w:rsidR="00EA2BF6" w:rsidRPr="00F7328B" w:rsidRDefault="00EA2BF6" w:rsidP="00EA2BF6">
      <w:pPr>
        <w:jc w:val="both"/>
        <w:rPr>
          <w:vertAlign w:val="superscript"/>
        </w:rPr>
      </w:pPr>
      <w:r>
        <w:t xml:space="preserve"> De opinião semelhante é Bloom: “Se a história da religião é o processo de escolha de formas de adoração a partir de fábulas poéticas, no Ocidente essa história é ainda mais extravagante: ela é a adoração, em formas amplamente modificadas e revistas, de um personagem literário extraordinariamente inconstante e estranho, o Yalweh de J.”</w:t>
      </w:r>
      <w:r>
        <w:rPr>
          <w:rStyle w:val="Refdenotaderodap"/>
        </w:rPr>
        <w:footnoteReference w:id="2"/>
      </w:r>
      <w:r>
        <w:t xml:space="preserve"> (BLOOM, 1992, p. 24)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530112" w:rsidRDefault="00EA2BF6" w:rsidP="00EA2BF6">
      <w:pPr>
        <w:numPr>
          <w:ilvl w:val="0"/>
          <w:numId w:val="4"/>
        </w:numPr>
        <w:jc w:val="both"/>
        <w:rPr>
          <w:b/>
          <w:color w:val="000000"/>
        </w:rPr>
      </w:pPr>
      <w:r w:rsidRPr="00530112">
        <w:rPr>
          <w:b/>
          <w:color w:val="000000"/>
        </w:rPr>
        <w:t>Obstáculos à compreensão da Bíblia com</w:t>
      </w:r>
      <w:r>
        <w:rPr>
          <w:b/>
          <w:color w:val="000000"/>
        </w:rPr>
        <w:t>o</w:t>
      </w:r>
      <w:r w:rsidRPr="00530112">
        <w:rPr>
          <w:b/>
          <w:color w:val="000000"/>
        </w:rPr>
        <w:t xml:space="preserve"> Literatura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Os obstáculos não existem nos autores de literatura, mas em muitos lugares da crítica literária e da teoria literária assim como no campo da teologia. A história da literatura tem páginas significativas </w:t>
      </w:r>
      <w:r w:rsidR="00113233">
        <w:rPr>
          <w:color w:val="000000"/>
        </w:rPr>
        <w:t xml:space="preserve"> </w:t>
      </w:r>
      <w:r>
        <w:rPr>
          <w:color w:val="000000"/>
        </w:rPr>
        <w:lastRenderedPageBreak/>
        <w:t>do diálogo entre texto literário e textos bíblicos e parte da literatura e é reescritura dos textos da Bíblia. Há, porém, alguns obstáculos no campo do estudo do texto literário e na teologia e os motivos não podem ser ignorados. O primeiro motivo é que a Bíblia foi vista, por alguns, como livro da instituição religiosa e não como livro da cultura e de processos civilizatórios complexos. Nesta pré-compreensão teológica ou confessional dos textos, como se ali fosse seu único reduto hermenêutico permitido, encontramos um dos principais fatores que obstaculizam o grande trabalho de crítica e teoria literária sobre o papel da Bíblia no desenvolvimento da literatura ocidental. Esta dificuldade existe de ambos os lados, seja pelos que se consideram guardiães da Bíblia como livro sagrado e inspirado, seja pelos que se consideram defensores de uma crítica literária que não reconhece o tema da religião como constitutivo e estruturante de parte da literatura ocidental. Normalmente pessoas que lêem a Bíblia somente com a visão teológica ou de suas confissões não se permitem reconhecer a variedade existente no texto bíblico. Priorizam o olhar doutrinário e unívoco, não a polissemia e oscilação dos personagens e das tramas. Assim como há críticos literários que preferem evitar o tema da religião como se isto significasse a perda ou o comprometimento da obra literária.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>Do lago teológico, percebemos a ideologia da confessionalidade em ação na tradução de textos bíblicos, muitas vezes gerando ocultamento da polissemia e intensidade dos textos, dando a impressão de univocidade e monotonia dos personagens bíblicos.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>Do lado da crítica literária e da teoria literária, não podemos deixar de constatar que cursos de letras normalmente não incluem a Bíblia entre os clássicos, desconhecem e formam desconhecimento da Bíblia como fonte da literatura mundial. O contexto brasileiro é uma prova deste distanciamento da Bíblia como literatura. Ainda há poucos estudos sobre a relação entre Bíblia e Literatura no Brasil quando comparamos a outros clássicos da literatura antiga, como é o caso de Homero.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>Os obstáculos não residem nas interdiscursividades e intertextualidades entre o texto bíblico e muitos textos da literatura ocidental, mas residem nos domínios ideológicos sobre o saber, em hermenêuticas teológicas restritivas e em crítica e teoria literária carente de maior diálogo com o texto bíblico.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FB3444" w:rsidRDefault="00EA2BF6" w:rsidP="00EA2BF6">
      <w:pPr>
        <w:numPr>
          <w:ilvl w:val="0"/>
          <w:numId w:val="4"/>
        </w:numPr>
        <w:jc w:val="both"/>
        <w:rPr>
          <w:b/>
          <w:color w:val="000000"/>
        </w:rPr>
      </w:pPr>
      <w:r w:rsidRPr="00FB3444">
        <w:rPr>
          <w:b/>
          <w:color w:val="000000"/>
        </w:rPr>
        <w:t>Algumas características da Bíblia como literatura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>De forma bastante resumida, destaco algumas características da Bíblia como literatura. Em primeiro lugar, é importante identificar a relação entre narrativa literária e modos teológicos, quer dizer, o literário da Bíblia não pode ser compreendido em profundidade sem que se leve em consideração que a narrativa é constituída por concepções religiosas e teológicas. Neste caso, é mais importante o campo de relações entre religião/teologia e literatura que a visão de causa e efeito, segundo a qual ou a genialidade estética criaria a religião ou a religião, quase que por acaso, criaria a literatura. Não é possível nem desejável estabelecer uma diferença abissal entre o que é teológico e o que é literário na Bíblia, pois os âmbitos se confundem, interagem de forma densa e complexa. Seria a mesma coisa se quiséssemos estabelecer a diferença nítida entre mito religioso e mito literário em Homero.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Em segundo lugar, é importante considerar o texto dentro de uma complexa totalidade artística permeada de sutilezas e economia de detalhes. Os textos bíblicos são sucintos, quando comparados a outros considerados fundamentos da literatura ocidental, como é o caso dos textos de Homero. A riqueza da Bíblia como obra literária reside, portanto, mais na complexidade e intensidade de tramas e personagens que na narração prolixa e detalhista. Grandes estórias bíblicas como Esaú e Jacó, José e seus Irmãos, Caim e Abel, são narradas de forma curta, ao mesmo tempo primam pela complexidade e intensidade. A divisão estabelecida por Frye, teórico literário, sobre os usos da </w:t>
      </w:r>
      <w:r>
        <w:rPr>
          <w:color w:val="000000"/>
        </w:rPr>
        <w:lastRenderedPageBreak/>
        <w:t>linguagem, o uso poético, o uso alegórico e o descritivo, defende que na Bíblia temos um novo uso: o proclamativo, o que caracterizaria a intensidade das tramas e personagens, tendo como objetivo incluir o leitor nos temas e nas opções. O texto seria, portanto, sucinto porque caracterizado por um grande apelo a que o leitor crie a sua própria história a partir da história contada.</w:t>
      </w:r>
    </w:p>
    <w:p w:rsidR="00EA2BF6" w:rsidRPr="001C47CC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Em terceiro lugar, ao contrário da leitura estritamente teológica, que é retrospectiva e que busca a reconstrução dos dados a partir de um sistema de idéias normativas, a linguagem bíblica é também literária no sentido de ser marcada pela tensão e oscilação de personagens, o que sugere que estes podem crescer, serem alterados no decorrer das 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narrativas. Em vez da imutabilidade de um Deus, o que temos é um personagem constante, mas mutável. O Deus único, por exemplo, é de certa forma, a convergência de várias </w:t>
      </w:r>
    </w:p>
    <w:p w:rsidR="00EA2BF6" w:rsidRPr="0050028E" w:rsidRDefault="00EA2BF6" w:rsidP="00EA2BF6">
      <w:pPr>
        <w:jc w:val="both"/>
        <w:rPr>
          <w:i/>
          <w:iCs/>
          <w:color w:val="808080"/>
        </w:rPr>
      </w:pPr>
      <w:r>
        <w:rPr>
          <w:color w:val="000000"/>
        </w:rPr>
        <w:t>divindades, estas personagens ocultas muitas vezes na superfície dos textos, mas constitutivas das identidades do personagem Deus.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Em quarto lugar, na Bíblia hebraica temos uma progressão de dependência, interdependência e independência dos personagens humanos em relação ao divino. É possível identificar estes conflitos entre personagens humanos e Divino, em alguns casos até mesmo o desaparecimento de Deus para a emergência de personagens humanos. 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DA28A2" w:rsidRDefault="00EA2BF6" w:rsidP="00EA2BF6">
      <w:pPr>
        <w:numPr>
          <w:ilvl w:val="0"/>
          <w:numId w:val="4"/>
        </w:numPr>
        <w:jc w:val="both"/>
        <w:rPr>
          <w:b/>
          <w:color w:val="000000"/>
        </w:rPr>
      </w:pPr>
      <w:r>
        <w:rPr>
          <w:b/>
          <w:color w:val="000000"/>
        </w:rPr>
        <w:t>Religião do livro e literatura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DA3B33" w:rsidRDefault="00EA2BF6" w:rsidP="00EA2BF6">
      <w:pPr>
        <w:jc w:val="both"/>
        <w:rPr>
          <w:color w:val="000000"/>
        </w:rPr>
      </w:pPr>
      <w:r>
        <w:rPr>
          <w:color w:val="000000"/>
        </w:rPr>
        <w:t>É preciso lembrar que a Bíblia hebraica – o chamado Antigo Testamento -, a Bíblia Cristã, assim como o Alcorão não nascem em qualquer religião. Nascem em religiões monoteístas, grandes artífices da herança literária que o ocidente e o oriente possuem. Daí que a pergunta sobre o papel da escrita e da literatura no monoteísmo é de relevância maior no estudo da relação entre Bíblia e literatura.</w:t>
      </w:r>
    </w:p>
    <w:p w:rsidR="00EA2BF6" w:rsidRDefault="00EA2BF6" w:rsidP="00EA2BF6">
      <w:pPr>
        <w:jc w:val="both"/>
        <w:rPr>
          <w:color w:val="000000"/>
        </w:rPr>
      </w:pPr>
      <w:r w:rsidRPr="00002871">
        <w:rPr>
          <w:color w:val="000000"/>
        </w:rPr>
        <w:t>A Escrita foi descoberta para que? Para guardar dados que não podem simplesmente ser guardados pela memória humana, tais como rituais, o</w:t>
      </w:r>
      <w:r>
        <w:rPr>
          <w:color w:val="000000"/>
        </w:rPr>
        <w:t>brigações, cronologias, origens; ela propicia o cultivo de</w:t>
      </w:r>
      <w:r w:rsidRPr="00002871">
        <w:rPr>
          <w:color w:val="000000"/>
        </w:rPr>
        <w:t xml:space="preserve"> certa prosa da vida, sem a qual nenhuma economia seria construída, nenhuma massa humana poderia ser organizada e nenhum Estado seria erigido. A poesia tinha, ao contrário, um lugar seguro na memória e não precisava da escrita. Demorou séculos, talvez milênios, até que a poesia descobriu o meio da escrita para si. Is</w:t>
      </w:r>
      <w:r>
        <w:rPr>
          <w:color w:val="000000"/>
        </w:rPr>
        <w:t>to foi a hora do nascimento da l</w:t>
      </w:r>
      <w:r w:rsidRPr="00002871">
        <w:rPr>
          <w:color w:val="000000"/>
        </w:rPr>
        <w:t>iteratura.</w:t>
      </w:r>
      <w:r>
        <w:rPr>
          <w:color w:val="000000"/>
        </w:rPr>
        <w:t xml:space="preserve"> Claro que estamos acostumados a ver a poesia como parte ou base da literatura, mas não podemos esquecer que a poesia existiu bem antes do conjunto de textos que formam hoje o que chamamos de literatura. A poesia foi uma das primeiras grandes articulações da linguagem humana. A escrita é, portanto, um desenvolvimento do poder narrativo do ser humano, acompanhado da necessidade de preservar memórias, de estar no mundo e olhar sobre ele.</w:t>
      </w:r>
    </w:p>
    <w:p w:rsidR="00EA2BF6" w:rsidRPr="00002871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 w:rsidRPr="00002871">
        <w:rPr>
          <w:color w:val="000000"/>
        </w:rPr>
        <w:t>Na mídia da transmissão oral repousa a memória cultural da sociedade e da forma segura da repetição, nos ritos e festas da atualização coletiva do extra-cotidiano; na mídia da escrita a memória cultural se emancipa das obrigações da repetição e da expectativa coletiva e abre-se ao novo e ao indivíduo. O específico da literatura não repousa nas formas da língua, no formal, na beleza da linguagem e da fundamentação lingüística formal: tudo isto é meio do qual se serve a memória para estabilização e transmissão. O específico da literatura repousa antes de tudo na inovação, no individual, na emancipação. Para isto ela precisa da escritura: para fazer ir além do que é dado e fazer valer o individual, o não-coletivo, o não-ouvido.</w:t>
      </w:r>
    </w:p>
    <w:p w:rsidR="00EA2BF6" w:rsidRPr="00002871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 w:rsidRPr="00002871">
        <w:rPr>
          <w:color w:val="000000"/>
        </w:rPr>
        <w:t>Isto não é conquistado somente com a memória e com as formas seguras da repetição ritual. Somente com a mídia da escrita, que ao ficcional empresta um caráter de ob</w:t>
      </w:r>
      <w:r>
        <w:rPr>
          <w:color w:val="000000"/>
        </w:rPr>
        <w:t>jetividade, uma sistematização ficcionalizada do mundo</w:t>
      </w:r>
      <w:r w:rsidRPr="00002871">
        <w:rPr>
          <w:color w:val="000000"/>
        </w:rPr>
        <w:t xml:space="preserve">, é que origina-se o específico literário da ficção. A </w:t>
      </w:r>
      <w:r w:rsidRPr="00002871">
        <w:rPr>
          <w:color w:val="000000"/>
        </w:rPr>
        <w:lastRenderedPageBreak/>
        <w:t>literatura he</w:t>
      </w:r>
      <w:r>
        <w:rPr>
          <w:color w:val="000000"/>
        </w:rPr>
        <w:t>rda todas as características da</w:t>
      </w:r>
      <w:r w:rsidRPr="00002871">
        <w:rPr>
          <w:color w:val="000000"/>
        </w:rPr>
        <w:t xml:space="preserve"> memória cultural organizada oralmente, o estético, o ficcional, o extra-cotidiano, e avança de forma violenta numa passo decisivo da história humana.</w:t>
      </w:r>
      <w:r>
        <w:rPr>
          <w:color w:val="000000"/>
        </w:rPr>
        <w:t xml:space="preserve"> Na literatura a vida humana se torna a aventura aberta do pensamento e da narrativa. De</w:t>
      </w:r>
      <w:r w:rsidRPr="00002871">
        <w:rPr>
          <w:color w:val="000000"/>
        </w:rPr>
        <w:t xml:space="preserve"> certa forma, talvez dito de forma exagerada, a literatura é ruptura da tradição.</w:t>
      </w:r>
      <w:r w:rsidR="00F96A16">
        <w:rPr>
          <w:color w:val="000000"/>
        </w:rPr>
        <w:t xml:space="preserve"> </w:t>
      </w:r>
      <w:r w:rsidRPr="00002871">
        <w:rPr>
          <w:color w:val="000000"/>
        </w:rPr>
        <w:t xml:space="preserve">A literatura nasceu do espírito da escritura. O espírito da escritura, </w:t>
      </w:r>
      <w:r>
        <w:rPr>
          <w:color w:val="000000"/>
        </w:rPr>
        <w:t>para se clarear isto novamente,</w:t>
      </w:r>
      <w:r w:rsidRPr="00002871">
        <w:rPr>
          <w:color w:val="000000"/>
        </w:rPr>
        <w:t xml:space="preserve"> é o espírito da inovação, da ruptura, da emancipação do rito e das formas seguras da repetição.</w:t>
      </w:r>
    </w:p>
    <w:p w:rsidR="00EA2BF6" w:rsidRPr="00002871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 w:rsidRPr="00002871">
        <w:rPr>
          <w:color w:val="000000"/>
        </w:rPr>
        <w:t>A tese fulminante de Hans-Peter Schmidt diz que a religião bíblica, o monoteísmo, nasceu do espírito da literatura. Isto é muito mais do que a Escritura. De certa forma podemos advogar a idéia de que há uma relação intrínseca entre monoteísmo e a escrita/escritura de um lado e pagan</w:t>
      </w:r>
      <w:r>
        <w:rPr>
          <w:color w:val="000000"/>
        </w:rPr>
        <w:t>ismo e oralidade do outro (SCHIMDT, 2005, 13).  Toda</w:t>
      </w:r>
      <w:r w:rsidRPr="00002871">
        <w:rPr>
          <w:color w:val="000000"/>
        </w:rPr>
        <w:t>s as religiões monoteístas são religiões do livro e se baseia</w:t>
      </w:r>
      <w:r>
        <w:rPr>
          <w:color w:val="000000"/>
        </w:rPr>
        <w:t>m num cânon das sagradas escrit</w:t>
      </w:r>
      <w:r w:rsidRPr="00002871">
        <w:rPr>
          <w:color w:val="000000"/>
        </w:rPr>
        <w:t>uras. Nas religiões pagãs existem ao contrário disto ritos e festas como ponto central. Esta diferença já foi assinalada até mesmo por Flávio Josefo, historiador judeu, no século I d. C.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 w:rsidRPr="00002871">
        <w:rPr>
          <w:color w:val="000000"/>
        </w:rPr>
        <w:t>A literatura significa bem mais que uma libertação do ciclo da repetição. Ela liberta da imediatez da compreensão, possibilita releituras infindas, cria uma rede de relação variada por meio de subtextos e tradições, destaca o significado das palavras por meio de ironia e ambivalência, cria orientação e instabilidade por meio dos conselhos e interpretação variada e faz emergir mundos do texto, que, segundo Hans P. Schimdt correspondem à fala da complexidade do ser humano.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002871" w:rsidRDefault="00EA2BF6" w:rsidP="00EA2BF6">
      <w:pPr>
        <w:jc w:val="both"/>
        <w:rPr>
          <w:color w:val="000000"/>
        </w:rPr>
      </w:pPr>
      <w:r>
        <w:rPr>
          <w:color w:val="000000"/>
        </w:rPr>
        <w:t>A literatura é a mídia de conquista da distância e da libertação pessoal dos cerceamentos da realidade dada. É na literatura que encontramos a transformação de uma mídia do armazenamento de dados e informações em mídia da emancipação. O texto abre o processo hermenêutico, não o fecha. Não é a escrita em si, mas a escrita literária. Segundo esta tese, “A literatura é a única possibilidade que o mundo tem de olhar para si. Na forma da literatura o ser humano e a sociedade humana se colocaram um olhar com o qual eles mesmos se observam e respondem à pergunta pela razão da existência da vida humana no mundo, e isto de forma monumental, repleto de sentido e de atribuição de significados. Enquanto o mito apresenta uma forma de modelação do mundo, é a literatura uma forma de mudança do mundo, de aquisição de mundos alternativos em mídia da ficção. É exatamente esta realidade alternativa que é o específico do monoteísmo bíblico.” (ASSMANN, 2005, 12). Nesta sistematização ficcionalizada da vida, o próprio personagem central, Deus, assume a intensidade da narrativa e a variedade dos humores e das condições das relações.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 w:rsidRPr="00002871">
        <w:rPr>
          <w:color w:val="000000"/>
        </w:rPr>
        <w:t>Assim como a literatura, o monoteísmo significa ruptura, não continuidade, significa deixar vir à escritura aquilo que não é ouvido, o novo radical e o Outro. A grandiosa história, à qual os livros bíblicos dão forma sobre a presença do ser humano no mundo, é indubitavelmente a arte narrativa mais impressionante produzida pelo ser humano: a história do acordo divino com um povo escolhido, ao mesmo tempo</w:t>
      </w:r>
      <w:r>
        <w:rPr>
          <w:color w:val="000000"/>
        </w:rPr>
        <w:t xml:space="preserve"> em</w:t>
      </w:r>
      <w:r w:rsidRPr="00002871">
        <w:rPr>
          <w:color w:val="000000"/>
        </w:rPr>
        <w:t xml:space="preserve"> que isto é construído na forma de um acordo matrimonial, recortado com compromissos para ambos os lados</w:t>
      </w:r>
      <w:r>
        <w:rPr>
          <w:color w:val="000000"/>
        </w:rPr>
        <w:t>. Aí se instauram as grandes tramas dos personagens.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002871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O monoteísmo narrativo, uma história de Deus e de um povo, é uma forma de poesia do mundo refinada que vai desde a criação até o fim do mundo. A verdade desta história reside exatamente em sua ficcionalidade. O Deus da Bíblia não é o Deus verdadeiro, que permanece de forma transcendental para além das histórias e dos anúncios, mas um quadro, uma referência, uma ação que alterna entre a intensidade do fazer e a intensidade do silêncio. O quadro é verdadeiro, pois ele é a representação da relação que o ser humano estabelece com ele, uma relação que destaca a extensão que o próprio ser humano é do quadro que ele tem como verdadeiro. A fala de Deus fala não de Deus, mas do ser humano e da relação que este ser humano estabelece com este Deus, o seu Outro e seu quadro e o si-mesmo. Hans-Peter Schmidt vê o sentido de proibição de imagem não na frase: “Não deves fazer imagem para ti”, porque nos é impossível uma verdade sem imagens, mas </w:t>
      </w:r>
      <w:r>
        <w:rPr>
          <w:color w:val="000000"/>
        </w:rPr>
        <w:lastRenderedPageBreak/>
        <w:t xml:space="preserve">no sentido, “tu não deves ver o quadro como a coisa em si”. Em sua literatura o povo judeu libertou-se de seus opressores e possuidores, se escreveu para sair da casa do Egito e se inscreveu na lei, na Torá, que liberta todos os seres humanos da opressão, pois possibilita sua inscrição em formas alternativas de ligação e relação. 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 w:rsidRPr="00002871">
        <w:rPr>
          <w:color w:val="000000"/>
        </w:rPr>
        <w:t>Literatura é neste sentido da ficção que cria novos espaços da convivência e da realização pessoal. A ficção não tem a ver, porém, com o que é chamado desde o século XVIII como as Belas Letras no sentido do estético como uma esfera de valor à parte de todas relações pragmáticas da vida, como se fosse uma realidade autônoma. Como um instrumento da conquista do distanciamento e da emancipação</w:t>
      </w:r>
      <w:r>
        <w:rPr>
          <w:color w:val="000000"/>
        </w:rPr>
        <w:t>,</w:t>
      </w:r>
      <w:r w:rsidRPr="00002871">
        <w:rPr>
          <w:color w:val="000000"/>
        </w:rPr>
        <w:t xml:space="preserve"> a literatura é um empreendimento extremamente vinculador e normativo, não primeiramente em Israel, antes na Mesopotâmia, no Egito e na Grécia. Neste contexto são colocados os fundamentos do ser humano e da convivência humana. Estes textos foram aprendido</w:t>
      </w:r>
      <w:r>
        <w:rPr>
          <w:color w:val="000000"/>
        </w:rPr>
        <w:t>s</w:t>
      </w:r>
      <w:r w:rsidRPr="00002871">
        <w:rPr>
          <w:color w:val="000000"/>
        </w:rPr>
        <w:t xml:space="preserve"> de forma dedicada e transformados em forma de condução da vida. O que aconteceu no campo da religião com a escritura é algo, porém, novo no contexto de Israel. Esta transformação aponta para uma nova concepção do que é es</w:t>
      </w:r>
      <w:r>
        <w:rPr>
          <w:color w:val="000000"/>
        </w:rPr>
        <w:t>critura e literatura, visto que</w:t>
      </w:r>
      <w:r w:rsidRPr="00002871">
        <w:rPr>
          <w:color w:val="000000"/>
        </w:rPr>
        <w:t xml:space="preserve"> a escritura é acom</w:t>
      </w:r>
      <w:r>
        <w:rPr>
          <w:color w:val="000000"/>
        </w:rPr>
        <w:t>p</w:t>
      </w:r>
      <w:r w:rsidRPr="00002871">
        <w:rPr>
          <w:color w:val="000000"/>
        </w:rPr>
        <w:t>anhada de certo tabu, o que proíbe a adição ou exclusão de elementos.</w:t>
      </w:r>
      <w:r>
        <w:rPr>
          <w:color w:val="000000"/>
        </w:rPr>
        <w:t xml:space="preserve"> A</w:t>
      </w:r>
      <w:r w:rsidRPr="00002871">
        <w:rPr>
          <w:color w:val="000000"/>
        </w:rPr>
        <w:t>té mesmo os d</w:t>
      </w:r>
      <w:r>
        <w:rPr>
          <w:color w:val="000000"/>
        </w:rPr>
        <w:t>etalhes da escritura são visto</w:t>
      </w:r>
      <w:r w:rsidRPr="00002871">
        <w:rPr>
          <w:color w:val="000000"/>
        </w:rPr>
        <w:t>s como palavra de deus, como sagrada escritura, como verdade revelada. Da literatura surgiu a religião, uma nova forma de religião, da imagem surgiu a coisa em si, da ficção emergiu o definitivo, a escritura se tornou prescrição que aponta para a plenitude tanto na vida individual quanto na vida de sociedade.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002871" w:rsidRDefault="00EA2BF6" w:rsidP="00EA2BF6">
      <w:pPr>
        <w:jc w:val="both"/>
        <w:rPr>
          <w:color w:val="000000"/>
        </w:rPr>
      </w:pPr>
      <w:r>
        <w:rPr>
          <w:color w:val="000000"/>
        </w:rPr>
        <w:t>É indubitável encontrar nestas reflexões uma rica fenomenologia do literário, visto que os livros bíblicos a isto estimulam, mesmo que isto fique restrito a Torah. Existe uma arte da significação nos textos bíblicos, de forma tal que a história pode ser ouvida e lida diversas vezes, suas falas rememoram e incomodam, seus silêncios e suas frases evocam a reescritura e o recontar. A arte da significação e a arte da abstração estão juntas e tornam o leitor/ouvinte alguém em profundo processo de reescrever, recontar e rememorar, ao mesmo tempo que projetam para novas leituras. A arte da significação evoca a interpretação ininterrupta.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>À</w:t>
      </w:r>
      <w:r w:rsidRPr="00002871">
        <w:rPr>
          <w:color w:val="000000"/>
        </w:rPr>
        <w:t xml:space="preserve"> m</w:t>
      </w:r>
      <w:r>
        <w:rPr>
          <w:color w:val="000000"/>
        </w:rPr>
        <w:t>edida que a religião absoluta</w:t>
      </w:r>
      <w:r w:rsidRPr="00002871">
        <w:rPr>
          <w:color w:val="000000"/>
        </w:rPr>
        <w:t xml:space="preserve"> ganhou em forma e valor, o aspecto literário dos livros, que se tornaram a Bíblia, </w:t>
      </w:r>
      <w:r>
        <w:rPr>
          <w:color w:val="000000"/>
        </w:rPr>
        <w:t>perdeu em vigor e importância. À</w:t>
      </w:r>
      <w:r w:rsidRPr="00002871">
        <w:rPr>
          <w:color w:val="000000"/>
        </w:rPr>
        <w:t xml:space="preserve"> medida, porém, que a reivindicação ao absolutismo mais e mais perdeu seu poder de convencimento, seja pela pluralidade da religião, seja pela desconfiança e crítica iluminista, de forma crescente o aspecto literário ganhou em importância. Já Johann David Michaelis na Inglaterra e Gottfried Herder na Alemanha no século XVIII descobriram a Bíblia como literatura e trabalharam antes de tudo pela qualidade estética do texto e por sua capacidade de ser referência para o processo de reescritura ocidental, ao mesmo tempo</w:t>
      </w:r>
      <w:r>
        <w:rPr>
          <w:color w:val="000000"/>
        </w:rPr>
        <w:t xml:space="preserve"> em</w:t>
      </w:r>
      <w:r w:rsidRPr="00002871">
        <w:rPr>
          <w:color w:val="000000"/>
        </w:rPr>
        <w:t xml:space="preserve"> que viam nisto uma das caracterís</w:t>
      </w:r>
      <w:r>
        <w:rPr>
          <w:color w:val="000000"/>
        </w:rPr>
        <w:t>tic</w:t>
      </w:r>
      <w:r w:rsidRPr="00002871">
        <w:rPr>
          <w:color w:val="000000"/>
        </w:rPr>
        <w:t>as fundamentais da</w:t>
      </w:r>
      <w:r>
        <w:rPr>
          <w:color w:val="000000"/>
        </w:rPr>
        <w:t>s religiões</w:t>
      </w:r>
      <w:r w:rsidRPr="00002871">
        <w:rPr>
          <w:color w:val="000000"/>
        </w:rPr>
        <w:t xml:space="preserve"> monoteístas. Com a superação da visão exegética do texto, novas possibilidades de interpretação foram sendo articuladas, inclusive a relação do texto bíblico com a literatura e o texto bíblico como literatura.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b/>
          <w:color w:val="000000"/>
        </w:rPr>
      </w:pPr>
      <w:r>
        <w:rPr>
          <w:b/>
          <w:color w:val="000000"/>
        </w:rPr>
        <w:t>Conclusão</w:t>
      </w:r>
    </w:p>
    <w:p w:rsidR="00EA2BF6" w:rsidRPr="00D651D9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Indubitavelmente os autores apresentam divergências importantes em sua interpretação da Bíblia como literatura. </w:t>
      </w:r>
      <w:r w:rsidRPr="00002871">
        <w:rPr>
          <w:color w:val="000000"/>
        </w:rPr>
        <w:t>Se Harold Bloom louva a javista como gênio literário, algo que do ponto de vista da exegese é absolutamente questionável, outros, como Hans-Peter Schmidt e Jack Miles não estão preocupados com uma visão parcial do texto, antes vêem na polissemia do texto um aspecto fundamental de sua dimensão literária</w:t>
      </w:r>
      <w:r>
        <w:rPr>
          <w:color w:val="000000"/>
        </w:rPr>
        <w:t>, ainda que tenha uma continuidade inquestionável na força dos personagens</w:t>
      </w:r>
      <w:r w:rsidRPr="00002871">
        <w:rPr>
          <w:color w:val="000000"/>
        </w:rPr>
        <w:t>.</w:t>
      </w:r>
    </w:p>
    <w:p w:rsidR="00EA2BF6" w:rsidRDefault="00EA2BF6" w:rsidP="00EA2BF6">
      <w:pPr>
        <w:jc w:val="both"/>
        <w:rPr>
          <w:color w:val="000000"/>
        </w:rPr>
      </w:pPr>
    </w:p>
    <w:p w:rsidR="00EA2BF6" w:rsidRPr="00002871" w:rsidRDefault="00EA2BF6" w:rsidP="00EA2BF6">
      <w:pPr>
        <w:jc w:val="both"/>
        <w:rPr>
          <w:color w:val="000000"/>
        </w:rPr>
      </w:pPr>
      <w:r>
        <w:rPr>
          <w:color w:val="000000"/>
        </w:rPr>
        <w:lastRenderedPageBreak/>
        <w:t>É uma rica tradição literária em que alguém escreve o que diz o que alguém disse e aconteceu depois que alguém escreveu o que foi dito. Tudo isto dentro de um forte espírito religioso, em estilos literários próprios, longe da idéia que a ficção é mentira, antes a única forma em imagem e narrativa possível para lidar com a verdade do divino e do humano, algo que sempre resultará no fracasso dogmático em absolutizar as interpretações.</w:t>
      </w: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</w:p>
    <w:p w:rsidR="00EA2BF6" w:rsidRDefault="00EA2BF6" w:rsidP="00EA2BF6">
      <w:pPr>
        <w:jc w:val="both"/>
        <w:rPr>
          <w:b/>
          <w:color w:val="000000"/>
        </w:rPr>
      </w:pPr>
      <w:r>
        <w:rPr>
          <w:b/>
          <w:color w:val="000000"/>
        </w:rPr>
        <w:t>Referência Bibliográficas</w:t>
      </w:r>
    </w:p>
    <w:p w:rsidR="00EA2BF6" w:rsidRDefault="00EA2BF6" w:rsidP="00EA2BF6">
      <w:pPr>
        <w:jc w:val="both"/>
        <w:rPr>
          <w:b/>
          <w:color w:val="000000"/>
        </w:rPr>
      </w:pP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[1] ALTER, Robert. </w:t>
      </w:r>
      <w:r w:rsidRPr="009A51CD">
        <w:rPr>
          <w:i/>
          <w:color w:val="000000"/>
        </w:rPr>
        <w:t>A arte da narrativa bíblica</w:t>
      </w:r>
      <w:r>
        <w:rPr>
          <w:color w:val="000000"/>
        </w:rPr>
        <w:t>. São Paulo: Companhia das Letras, 2007, 285p.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>[2] ASSMANN, Jan. Die Mosaische Unterscheidung. Oder der Preis des Monotheismus. München, 2003, 286p.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[3] AUERBACH, Erich. </w:t>
      </w:r>
      <w:r w:rsidRPr="009A51CD">
        <w:rPr>
          <w:i/>
          <w:color w:val="000000"/>
        </w:rPr>
        <w:t>Mimesis. A representação da realidade na literatura ocidental</w:t>
      </w:r>
      <w:r>
        <w:rPr>
          <w:color w:val="000000"/>
        </w:rPr>
        <w:t>. São Paulo: Perspectiva, 2004, 507p.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[4] BLOOM, Harold. </w:t>
      </w:r>
      <w:r w:rsidRPr="009A51CD">
        <w:rPr>
          <w:i/>
          <w:color w:val="000000"/>
        </w:rPr>
        <w:t>O Livro de J</w:t>
      </w:r>
      <w:r>
        <w:rPr>
          <w:color w:val="000000"/>
        </w:rPr>
        <w:t>. Rio de Janeiro: Imago, 1992, 364p.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[5] BLOOM, Harold. </w:t>
      </w:r>
      <w:r w:rsidRPr="009A51CD">
        <w:rPr>
          <w:i/>
          <w:color w:val="000000"/>
        </w:rPr>
        <w:t>Jesus e Javé. Os nomes divinos</w:t>
      </w:r>
      <w:r>
        <w:rPr>
          <w:color w:val="000000"/>
        </w:rPr>
        <w:t>. São Paulo: Objetiva, 2006, 274p.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[6] FRYE, Northrop. </w:t>
      </w:r>
      <w:r w:rsidRPr="009A51CD">
        <w:rPr>
          <w:i/>
          <w:color w:val="000000"/>
        </w:rPr>
        <w:t>Código dos Códigos. A Bíblia e a Literatura</w:t>
      </w:r>
      <w:r>
        <w:rPr>
          <w:color w:val="000000"/>
        </w:rPr>
        <w:t>. São Paulo: Boitempo, 2004, 293p.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[7] GROSSMAN, David. </w:t>
      </w:r>
      <w:r w:rsidRPr="009A51CD">
        <w:rPr>
          <w:i/>
          <w:color w:val="000000"/>
        </w:rPr>
        <w:t>Mel de Leão. O mito de Sansão</w:t>
      </w:r>
      <w:r>
        <w:rPr>
          <w:color w:val="000000"/>
        </w:rPr>
        <w:t>. São Paulo: Companhia das Letras, 2006, 131p.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[8] MAGALHÃES, Antonio. </w:t>
      </w:r>
      <w:r w:rsidRPr="009A51CD">
        <w:rPr>
          <w:i/>
          <w:color w:val="000000"/>
        </w:rPr>
        <w:t>Deus no Espelho das Palavras</w:t>
      </w:r>
      <w:r>
        <w:rPr>
          <w:color w:val="000000"/>
        </w:rPr>
        <w:t>. Teologia e Literatura em Diálogo. São Paulo: Paulinas, 2000, 213p.</w:t>
      </w:r>
    </w:p>
    <w:p w:rsidR="00EA2BF6" w:rsidRDefault="00EA2BF6" w:rsidP="00EA2BF6">
      <w:pPr>
        <w:jc w:val="both"/>
        <w:rPr>
          <w:color w:val="000000"/>
        </w:rPr>
      </w:pPr>
      <w:r>
        <w:rPr>
          <w:color w:val="000000"/>
        </w:rPr>
        <w:t xml:space="preserve">[9] MILES, Jack. </w:t>
      </w:r>
      <w:r w:rsidRPr="009A51CD">
        <w:rPr>
          <w:i/>
          <w:color w:val="000000"/>
        </w:rPr>
        <w:t>Deus. Uma biografia</w:t>
      </w:r>
      <w:r>
        <w:rPr>
          <w:color w:val="000000"/>
        </w:rPr>
        <w:t>. São Paulo: Companhia das Letras, 1997, 497p.</w:t>
      </w:r>
    </w:p>
    <w:p w:rsidR="00EA2BF6" w:rsidRPr="005924B7" w:rsidRDefault="00EA2BF6" w:rsidP="00EA2BF6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[10] SCH</w:t>
      </w:r>
      <w:r w:rsidRPr="005924B7">
        <w:rPr>
          <w:color w:val="000000"/>
          <w:lang w:val="en-US"/>
        </w:rPr>
        <w:t xml:space="preserve">MIDT, Hans-Peter. </w:t>
      </w:r>
      <w:r w:rsidRPr="009A51CD">
        <w:rPr>
          <w:i/>
          <w:color w:val="000000"/>
          <w:lang w:val="en-US"/>
        </w:rPr>
        <w:t>Schicksal – Gott – Fiktion. Die Bibel als literarisches Meisterwerk</w:t>
      </w:r>
      <w:r>
        <w:rPr>
          <w:color w:val="000000"/>
          <w:lang w:val="en-US"/>
        </w:rPr>
        <w:t>. Paderborn: Schöningh, 2005, 167p.</w:t>
      </w:r>
      <w:r w:rsidRPr="005924B7">
        <w:rPr>
          <w:color w:val="000000"/>
          <w:lang w:val="en-US"/>
        </w:rPr>
        <w:t xml:space="preserve"> </w:t>
      </w:r>
    </w:p>
    <w:p w:rsidR="00EA2BF6" w:rsidRPr="005924B7" w:rsidRDefault="00EA2BF6" w:rsidP="00EA2BF6">
      <w:pPr>
        <w:jc w:val="both"/>
        <w:rPr>
          <w:color w:val="000000"/>
          <w:lang w:val="en-US"/>
        </w:rPr>
      </w:pPr>
    </w:p>
    <w:p w:rsidR="00EA2BF6" w:rsidRPr="005924B7" w:rsidRDefault="00EA2BF6" w:rsidP="00EA2BF6">
      <w:pPr>
        <w:jc w:val="both"/>
        <w:rPr>
          <w:color w:val="000000"/>
          <w:lang w:val="en-US"/>
        </w:rPr>
      </w:pPr>
    </w:p>
    <w:p w:rsidR="00EA2BF6" w:rsidRPr="00EA2BF6" w:rsidRDefault="00EA2BF6">
      <w:pPr>
        <w:rPr>
          <w:lang w:val="pt-BR"/>
        </w:rPr>
      </w:pPr>
    </w:p>
    <w:sectPr w:rsidR="00EA2BF6" w:rsidRPr="00EA2BF6" w:rsidSect="00830603">
      <w:headerReference w:type="default" r:id="rId7"/>
      <w:endnotePr>
        <w:numFmt w:val="decimal"/>
      </w:endnotePr>
      <w:pgSz w:w="11906" w:h="16838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FE" w:rsidRDefault="00AD57FE" w:rsidP="00EA2BF6">
      <w:r>
        <w:separator/>
      </w:r>
    </w:p>
  </w:endnote>
  <w:endnote w:type="continuationSeparator" w:id="0">
    <w:p w:rsidR="00AD57FE" w:rsidRDefault="00AD57FE" w:rsidP="00EA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FE" w:rsidRDefault="00AD57FE" w:rsidP="00EA2BF6">
      <w:r>
        <w:separator/>
      </w:r>
    </w:p>
  </w:footnote>
  <w:footnote w:type="continuationSeparator" w:id="0">
    <w:p w:rsidR="00AD57FE" w:rsidRDefault="00AD57FE" w:rsidP="00EA2BF6">
      <w:r>
        <w:continuationSeparator/>
      </w:r>
    </w:p>
  </w:footnote>
  <w:footnote w:id="1">
    <w:p w:rsidR="00EA2BF6" w:rsidRDefault="00EA2BF6" w:rsidP="00EA2BF6">
      <w:pPr>
        <w:pStyle w:val="Textodenotaderodap"/>
      </w:pPr>
      <w:r>
        <w:rPr>
          <w:rStyle w:val="Refdenotaderodap"/>
        </w:rPr>
        <w:footnoteRef/>
      </w:r>
      <w:r>
        <w:t xml:space="preserve"> Antonio MAGALHÃES, Professor Doutor da Universidade Estadual da Paraíba - UEPB, na Pós-graduação em Literatura e Interculturalidade e no Departamento de Filosofia e Ciências Sociais. </w:t>
      </w:r>
      <w:hyperlink r:id="rId1" w:history="1">
        <w:r w:rsidRPr="00954084">
          <w:rPr>
            <w:rStyle w:val="Hyperlink"/>
          </w:rPr>
          <w:t>magalhães.uepb@gmail.com</w:t>
        </w:r>
      </w:hyperlink>
    </w:p>
    <w:p w:rsidR="00EA2BF6" w:rsidRDefault="00EA2BF6" w:rsidP="00EA2BF6">
      <w:pPr>
        <w:pStyle w:val="Textodenotaderodap"/>
      </w:pPr>
    </w:p>
  </w:footnote>
  <w:footnote w:id="2">
    <w:p w:rsidR="00EA2BF6" w:rsidRDefault="00EA2BF6" w:rsidP="00EA2BF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Naturalmente há toda uma discussão sobre a plausibilidade de se trabalhar com as chamadas escolas  teológicas, muito usadas no passado para interpretar os textos da Bíblia Hebraica. Mas não é este o ponto central aqui. O mais importante é pressupor a Bíblia como literatura e alguns dos seus trechos como grande literatura ocidental e universal. Se existiu ou não a javista da forma como Bloom defende é algo secundário.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4784"/>
      <w:gridCol w:w="4855"/>
    </w:tblGrid>
    <w:tr w:rsidR="00324F3C" w:rsidRPr="00F94A00" w:rsidTr="00830603">
      <w:trPr>
        <w:trHeight w:val="360"/>
      </w:trPr>
      <w:tc>
        <w:tcPr>
          <w:tcW w:w="478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4F3C" w:rsidRPr="00F94A00" w:rsidRDefault="00541070" w:rsidP="00F94A00">
          <w:pPr>
            <w:rPr>
              <w:b/>
              <w:lang w:val="pt-BR"/>
            </w:rPr>
          </w:pPr>
          <w:r>
            <w:rPr>
              <w:b/>
              <w:lang w:val="pt-BR"/>
            </w:rPr>
            <w:t>XI Congresso Internacional da ABRALIC</w:t>
          </w:r>
          <w:r w:rsidRPr="00F94A00">
            <w:rPr>
              <w:b/>
              <w:lang w:val="pt-BR"/>
            </w:rPr>
            <w:br/>
          </w:r>
          <w:r>
            <w:rPr>
              <w:b/>
              <w:i/>
              <w:lang w:val="pt-BR"/>
            </w:rPr>
            <w:t>Tessituras, Interações, Convergências</w:t>
          </w:r>
        </w:p>
      </w:tc>
      <w:tc>
        <w:tcPr>
          <w:tcW w:w="48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4F3C" w:rsidRPr="00F94A00" w:rsidRDefault="00541070" w:rsidP="00F94A00">
          <w:pPr>
            <w:jc w:val="right"/>
            <w:rPr>
              <w:b/>
              <w:lang w:val="pt-BR"/>
            </w:rPr>
          </w:pPr>
          <w:r>
            <w:rPr>
              <w:b/>
              <w:lang w:val="pt-BR"/>
            </w:rPr>
            <w:t>13</w:t>
          </w:r>
          <w:r w:rsidRPr="00F94A00">
            <w:rPr>
              <w:b/>
              <w:lang w:val="pt-BR"/>
            </w:rPr>
            <w:t xml:space="preserve"> a </w:t>
          </w:r>
          <w:r>
            <w:rPr>
              <w:b/>
              <w:lang w:val="pt-BR"/>
            </w:rPr>
            <w:t>17 de julho de 2008</w:t>
          </w:r>
          <w:r w:rsidRPr="00F94A00">
            <w:rPr>
              <w:b/>
              <w:lang w:val="pt-BR"/>
            </w:rPr>
            <w:br/>
            <w:t>USP – São Paulo, Brasil</w:t>
          </w:r>
        </w:p>
      </w:tc>
    </w:tr>
  </w:tbl>
  <w:p w:rsidR="00324F3C" w:rsidRPr="00F94A00" w:rsidRDefault="00AD57FE" w:rsidP="00F94A00">
    <w:pPr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4D2"/>
    <w:multiLevelType w:val="multilevel"/>
    <w:tmpl w:val="CAC8FB88"/>
    <w:lvl w:ilvl="0">
      <w:start w:val="1"/>
      <w:numFmt w:val="decimal"/>
      <w:pStyle w:val="RefernciasABRALIC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AF53CF"/>
    <w:multiLevelType w:val="multilevel"/>
    <w:tmpl w:val="CDDE76EA"/>
    <w:lvl w:ilvl="0">
      <w:start w:val="1"/>
      <w:numFmt w:val="decimal"/>
      <w:pStyle w:val="Nvel2ABRALIC"/>
      <w:lvlText w:val="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pStyle w:val="Nvel2ABRALIC"/>
      <w:lvlText w:val="%1.%2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>
    <w:nsid w:val="23873BC5"/>
    <w:multiLevelType w:val="multilevel"/>
    <w:tmpl w:val="580AF4B0"/>
    <w:lvl w:ilvl="0">
      <w:start w:val="1"/>
      <w:numFmt w:val="decimal"/>
      <w:pStyle w:val="Nvel1ABRALIC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0C41A1"/>
    <w:multiLevelType w:val="hybridMultilevel"/>
    <w:tmpl w:val="12965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A2BF6"/>
    <w:rsid w:val="00113233"/>
    <w:rsid w:val="003175B2"/>
    <w:rsid w:val="00332975"/>
    <w:rsid w:val="003613BA"/>
    <w:rsid w:val="004C256A"/>
    <w:rsid w:val="00541070"/>
    <w:rsid w:val="00627832"/>
    <w:rsid w:val="00774514"/>
    <w:rsid w:val="008971C0"/>
    <w:rsid w:val="008D684A"/>
    <w:rsid w:val="009A51CD"/>
    <w:rsid w:val="00AD57FE"/>
    <w:rsid w:val="00CA74E3"/>
    <w:rsid w:val="00EA2BF6"/>
    <w:rsid w:val="00F9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BRALIC">
    <w:name w:val="Título ABRALIC"/>
    <w:basedOn w:val="Normal"/>
    <w:rsid w:val="00EA2BF6"/>
    <w:pPr>
      <w:jc w:val="center"/>
    </w:pPr>
    <w:rPr>
      <w:b/>
      <w:sz w:val="32"/>
    </w:rPr>
  </w:style>
  <w:style w:type="paragraph" w:styleId="Textodenotadefim">
    <w:name w:val="endnote text"/>
    <w:basedOn w:val="Normal"/>
    <w:link w:val="TextodenotadefimChar"/>
    <w:semiHidden/>
    <w:rsid w:val="00EA2BF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EA2B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Refdenotadefim">
    <w:name w:val="endnote reference"/>
    <w:basedOn w:val="Fontepargpadro"/>
    <w:semiHidden/>
    <w:rsid w:val="00EA2BF6"/>
    <w:rPr>
      <w:vertAlign w:val="superscript"/>
    </w:rPr>
  </w:style>
  <w:style w:type="paragraph" w:customStyle="1" w:styleId="AutoresABRALIC">
    <w:name w:val="Autores ABRALIC"/>
    <w:basedOn w:val="Normal"/>
    <w:rsid w:val="00EA2BF6"/>
    <w:pPr>
      <w:jc w:val="right"/>
    </w:pPr>
  </w:style>
  <w:style w:type="paragraph" w:customStyle="1" w:styleId="CorpodeTextoResumoABRALIC">
    <w:name w:val="Corpo de Texto Resumo ABRALIC"/>
    <w:basedOn w:val="Normal"/>
    <w:rsid w:val="00EA2BF6"/>
    <w:pPr>
      <w:spacing w:before="240"/>
      <w:ind w:left="397" w:right="397"/>
      <w:jc w:val="both"/>
    </w:pPr>
    <w:rPr>
      <w:i/>
      <w:sz w:val="22"/>
      <w:lang w:val="pt-BR"/>
    </w:rPr>
  </w:style>
  <w:style w:type="paragraph" w:customStyle="1" w:styleId="TtuloResumoABRALIC">
    <w:name w:val="Título Resumo ABRALIC"/>
    <w:basedOn w:val="Normal"/>
    <w:rsid w:val="00EA2BF6"/>
    <w:rPr>
      <w:b/>
      <w:i/>
      <w:sz w:val="28"/>
    </w:rPr>
  </w:style>
  <w:style w:type="paragraph" w:customStyle="1" w:styleId="Nvel1ABRALIC">
    <w:name w:val="Nível 1 ABRALIC"/>
    <w:basedOn w:val="Normal"/>
    <w:autoRedefine/>
    <w:rsid w:val="00EA2BF6"/>
    <w:pPr>
      <w:numPr>
        <w:numId w:val="1"/>
      </w:numPr>
      <w:spacing w:before="240" w:after="120"/>
    </w:pPr>
    <w:rPr>
      <w:b/>
      <w:sz w:val="28"/>
    </w:rPr>
  </w:style>
  <w:style w:type="paragraph" w:customStyle="1" w:styleId="CorpodeTextoABRALIC">
    <w:name w:val="Corpo de Texto ABRALIC"/>
    <w:basedOn w:val="Normal"/>
    <w:link w:val="CorpodeTextoABRALICChar"/>
    <w:rsid w:val="00EA2BF6"/>
    <w:pPr>
      <w:spacing w:after="120"/>
      <w:ind w:firstLine="567"/>
      <w:jc w:val="both"/>
    </w:pPr>
    <w:rPr>
      <w:lang w:val="pt-BR"/>
    </w:rPr>
  </w:style>
  <w:style w:type="paragraph" w:customStyle="1" w:styleId="Nvel2ABRALIC">
    <w:name w:val="Nível 2 ABRALIC"/>
    <w:autoRedefine/>
    <w:rsid w:val="00EA2BF6"/>
    <w:pPr>
      <w:widowControl w:val="0"/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TtuloConclusoABRALIC">
    <w:name w:val="Título Conclusão ABRALIC"/>
    <w:basedOn w:val="TtuloIntroduoABRALIC"/>
    <w:rsid w:val="00EA2BF6"/>
  </w:style>
  <w:style w:type="paragraph" w:customStyle="1" w:styleId="RefernciasABRALIC">
    <w:name w:val="Referências ABRALIC"/>
    <w:basedOn w:val="Normal"/>
    <w:autoRedefine/>
    <w:rsid w:val="00EA2BF6"/>
    <w:pPr>
      <w:numPr>
        <w:numId w:val="3"/>
      </w:numPr>
      <w:spacing w:before="120"/>
    </w:pPr>
    <w:rPr>
      <w:lang w:val="en-US"/>
    </w:rPr>
  </w:style>
  <w:style w:type="paragraph" w:customStyle="1" w:styleId="TtuloIntroduoABRALIC">
    <w:name w:val="Título Introdução ABRALIC"/>
    <w:basedOn w:val="Nvel1ABRALIC"/>
    <w:next w:val="Nvel1ABRALIC"/>
    <w:rsid w:val="00EA2BF6"/>
    <w:pPr>
      <w:numPr>
        <w:numId w:val="0"/>
      </w:numPr>
    </w:pPr>
  </w:style>
  <w:style w:type="paragraph" w:customStyle="1" w:styleId="TtuloRefernciasABRALIC">
    <w:name w:val="Título Referências ABRALIC"/>
    <w:basedOn w:val="TtuloIntroduoABRALIC"/>
    <w:rsid w:val="00EA2BF6"/>
    <w:rPr>
      <w:lang w:val="pt-BR"/>
    </w:rPr>
  </w:style>
  <w:style w:type="paragraph" w:customStyle="1" w:styleId="CitaoABRALIC">
    <w:name w:val="Citação ABRALIC"/>
    <w:basedOn w:val="CorpodeTextoABRALIC"/>
    <w:rsid w:val="00EA2BF6"/>
    <w:pPr>
      <w:ind w:left="2268" w:firstLine="0"/>
    </w:pPr>
    <w:rPr>
      <w:sz w:val="22"/>
    </w:rPr>
  </w:style>
  <w:style w:type="paragraph" w:customStyle="1" w:styleId="PalavraestrangeiraABRALIC">
    <w:name w:val="Palavra estrangeira ABRALIC"/>
    <w:basedOn w:val="CorpodeTextoABRALIC"/>
    <w:link w:val="PalavraestrangeiraABRALICChar"/>
    <w:rsid w:val="00EA2BF6"/>
    <w:rPr>
      <w:i/>
      <w:iCs/>
    </w:rPr>
  </w:style>
  <w:style w:type="character" w:customStyle="1" w:styleId="CorpodeTextoABRALICChar">
    <w:name w:val="Corpo de Texto ABRALIC Char"/>
    <w:basedOn w:val="Fontepargpadro"/>
    <w:link w:val="CorpodeTextoABRALIC"/>
    <w:rsid w:val="00EA2BF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PalavraestrangeiraABRALICChar">
    <w:name w:val="Palavra estrangeira ABRALIC Char"/>
    <w:basedOn w:val="CorpodeTextoABRALICChar"/>
    <w:link w:val="PalavraestrangeiraABRALIC"/>
    <w:rsid w:val="00EA2BF6"/>
    <w:rPr>
      <w:i/>
      <w:iCs/>
    </w:rPr>
  </w:style>
  <w:style w:type="paragraph" w:customStyle="1" w:styleId="nfaseouDestaqueABRALIC">
    <w:name w:val="Ênfase ou Destaque ABRALIC"/>
    <w:basedOn w:val="CorpodeTextoABRALIC"/>
    <w:link w:val="nfaseouDestaqueABRALICChar"/>
    <w:rsid w:val="00EA2BF6"/>
    <w:rPr>
      <w:b/>
      <w:bCs/>
    </w:rPr>
  </w:style>
  <w:style w:type="character" w:customStyle="1" w:styleId="nfaseouDestaqueABRALICChar">
    <w:name w:val="Ênfase ou Destaque ABRALIC Char"/>
    <w:basedOn w:val="CorpodeTextoABRALICChar"/>
    <w:link w:val="nfaseouDestaqueABRALIC"/>
    <w:rsid w:val="00EA2BF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2BF6"/>
    <w:rPr>
      <w:sz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2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A2BF6"/>
    <w:rPr>
      <w:vertAlign w:val="superscript"/>
    </w:rPr>
  </w:style>
  <w:style w:type="character" w:styleId="nfase">
    <w:name w:val="Emphasis"/>
    <w:basedOn w:val="Fontepargpadro"/>
    <w:uiPriority w:val="20"/>
    <w:qFormat/>
    <w:rsid w:val="00EA2BF6"/>
    <w:rPr>
      <w:i/>
      <w:iCs/>
    </w:rPr>
  </w:style>
  <w:style w:type="character" w:styleId="nfaseSutil">
    <w:name w:val="Subtle Emphasis"/>
    <w:basedOn w:val="Fontepargpadro"/>
    <w:uiPriority w:val="19"/>
    <w:qFormat/>
    <w:rsid w:val="00EA2BF6"/>
    <w:rPr>
      <w:i/>
      <w:iCs/>
      <w:color w:val="808080"/>
    </w:rPr>
  </w:style>
  <w:style w:type="character" w:styleId="Hyperlink">
    <w:name w:val="Hyperlink"/>
    <w:basedOn w:val="Fontepargpadro"/>
    <w:uiPriority w:val="99"/>
    <w:unhideWhenUsed/>
    <w:rsid w:val="00EA2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galh&#227;es.uep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3727</Words>
  <Characters>20130</Characters>
  <Application>Microsoft Office Word</Application>
  <DocSecurity>0</DocSecurity>
  <Lines>167</Lines>
  <Paragraphs>47</Paragraphs>
  <ScaleCrop>false</ScaleCrop>
  <Company/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10</cp:revision>
  <cp:lastPrinted>2011-10-24T20:45:00Z</cp:lastPrinted>
  <dcterms:created xsi:type="dcterms:W3CDTF">2008-06-07T18:51:00Z</dcterms:created>
  <dcterms:modified xsi:type="dcterms:W3CDTF">2011-10-24T20:46:00Z</dcterms:modified>
</cp:coreProperties>
</file>